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455E" w14:textId="42847BC4" w:rsidR="00D20EDB" w:rsidRDefault="00D20EDB" w:rsidP="35D34E89">
      <w:pPr>
        <w:pStyle w:val="Rubrik1"/>
        <w:rPr>
          <w:lang w:val="en-US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65A48F" wp14:editId="29BBDA92">
            <wp:simplePos x="0" y="0"/>
            <wp:positionH relativeFrom="column">
              <wp:posOffset>-174625</wp:posOffset>
            </wp:positionH>
            <wp:positionV relativeFrom="paragraph">
              <wp:posOffset>-526577</wp:posOffset>
            </wp:positionV>
            <wp:extent cx="2664000" cy="9576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C7456" w14:textId="77777777" w:rsidR="00D20EDB" w:rsidRDefault="00D20EDB" w:rsidP="35D34E89">
      <w:pPr>
        <w:pStyle w:val="Rubrik1"/>
        <w:rPr>
          <w:lang w:val="en-US"/>
        </w:rPr>
      </w:pPr>
    </w:p>
    <w:p w14:paraId="5CBD4EAF" w14:textId="16599235" w:rsidR="301C7C4F" w:rsidRDefault="301C7C4F" w:rsidP="301C7C4F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301C7C4F">
        <w:rPr>
          <w:rFonts w:ascii="Calibri" w:eastAsia="Calibri" w:hAnsi="Calibri" w:cs="Calibri"/>
          <w:b/>
          <w:bCs/>
          <w:sz w:val="24"/>
          <w:szCs w:val="24"/>
          <w:lang w:val="en-US"/>
        </w:rPr>
        <w:t>Child</w:t>
      </w:r>
      <w:r w:rsidR="0050474C">
        <w:rPr>
          <w:rFonts w:ascii="Calibri" w:eastAsia="Calibri" w:hAnsi="Calibri" w:cs="Calibri"/>
          <w:b/>
          <w:bCs/>
          <w:sz w:val="24"/>
          <w:szCs w:val="24"/>
          <w:lang w:val="en-US"/>
        </w:rPr>
        <w:t>ren, Gender, and Sexuality</w:t>
      </w:r>
      <w:r w:rsidRPr="301C7C4F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(7,5 credits) </w:t>
      </w:r>
      <w:r w:rsidR="00036BB9">
        <w:rPr>
          <w:rFonts w:ascii="Calibri" w:eastAsia="Calibri" w:hAnsi="Calibri" w:cs="Calibri"/>
          <w:b/>
          <w:bCs/>
          <w:sz w:val="24"/>
          <w:szCs w:val="24"/>
          <w:lang w:val="en-US"/>
        </w:rPr>
        <w:t>2019</w:t>
      </w:r>
      <w:bookmarkStart w:id="0" w:name="_GoBack"/>
      <w:bookmarkEnd w:id="0"/>
    </w:p>
    <w:p w14:paraId="10938807" w14:textId="65B6A85C" w:rsidR="301C7C4F" w:rsidRPr="0050474C" w:rsidRDefault="301C7C4F" w:rsidP="301C7C4F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50474C">
        <w:rPr>
          <w:rFonts w:ascii="Calibri" w:eastAsia="Calibri" w:hAnsi="Calibri" w:cs="Calibri"/>
          <w:b/>
          <w:bCs/>
          <w:sz w:val="24"/>
          <w:szCs w:val="24"/>
          <w:lang w:val="en-US"/>
        </w:rPr>
        <w:t>Course code: 736A</w:t>
      </w:r>
      <w:r w:rsidR="0050474C" w:rsidRPr="0050474C">
        <w:rPr>
          <w:rFonts w:ascii="Calibri" w:eastAsia="Calibri" w:hAnsi="Calibri" w:cs="Calibri"/>
          <w:b/>
          <w:bCs/>
          <w:sz w:val="24"/>
          <w:szCs w:val="24"/>
          <w:lang w:val="en-US"/>
        </w:rPr>
        <w:t>33</w:t>
      </w:r>
    </w:p>
    <w:p w14:paraId="353D429E" w14:textId="119E0F7B" w:rsidR="35D34E89" w:rsidRDefault="35D34E89" w:rsidP="301C7C4F">
      <w:pPr>
        <w:rPr>
          <w:lang w:val="en-US"/>
        </w:rPr>
      </w:pPr>
    </w:p>
    <w:p w14:paraId="77C4A7BD" w14:textId="4DEE3555" w:rsidR="00091843" w:rsidRPr="00AA36EF" w:rsidRDefault="00AA36EF" w:rsidP="301C7C4F">
      <w:pPr>
        <w:rPr>
          <w:color w:val="FF0000"/>
          <w:lang w:val="en-US"/>
        </w:rPr>
      </w:pPr>
      <w:r w:rsidRPr="00AA36EF">
        <w:rPr>
          <w:color w:val="FF0000"/>
          <w:lang w:val="en-US"/>
        </w:rPr>
        <w:t xml:space="preserve">Three texts are available </w:t>
      </w:r>
      <w:r>
        <w:rPr>
          <w:color w:val="FF0000"/>
          <w:lang w:val="en-US"/>
        </w:rPr>
        <w:t>i</w:t>
      </w:r>
      <w:r w:rsidRPr="00AA36EF">
        <w:rPr>
          <w:color w:val="FF0000"/>
          <w:lang w:val="en-US"/>
        </w:rPr>
        <w:t xml:space="preserve">n the Literature folder on Lisam. The rest of the </w:t>
      </w:r>
      <w:r w:rsidRPr="00AA36EF">
        <w:rPr>
          <w:color w:val="FF0000"/>
          <w:lang w:val="en-US"/>
        </w:rPr>
        <w:t xml:space="preserve">literature are available </w:t>
      </w:r>
      <w:r w:rsidRPr="00AA36EF">
        <w:rPr>
          <w:color w:val="FF0000"/>
          <w:lang w:val="en-US"/>
        </w:rPr>
        <w:t>through</w:t>
      </w:r>
      <w:r w:rsidRPr="00AA36EF">
        <w:rPr>
          <w:color w:val="FF0000"/>
          <w:lang w:val="en-US"/>
        </w:rPr>
        <w:t xml:space="preserve"> links in the Study Guide.</w:t>
      </w:r>
    </w:p>
    <w:p w14:paraId="0DFFA10C" w14:textId="337FCC1A" w:rsidR="301C7C4F" w:rsidRDefault="301C7C4F" w:rsidP="301C7C4F">
      <w:pPr>
        <w:pStyle w:val="Rubrik1"/>
        <w:rPr>
          <w:lang w:val="en-US"/>
        </w:rPr>
      </w:pPr>
      <w:r w:rsidRPr="0050474C">
        <w:rPr>
          <w:lang w:val="en-US"/>
        </w:rPr>
        <w:t>Obligatory literature</w:t>
      </w:r>
    </w:p>
    <w:p w14:paraId="6AD98E0A" w14:textId="77777777" w:rsidR="00724CA6" w:rsidRPr="0053017E" w:rsidRDefault="00724CA6" w:rsidP="0050474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vanish/>
          <w:color w:val="FF0000"/>
          <w:sz w:val="27"/>
          <w:szCs w:val="27"/>
          <w:lang w:val="en-US"/>
        </w:rPr>
      </w:pPr>
    </w:p>
    <w:p w14:paraId="4262B382" w14:textId="77777777" w:rsidR="00724CA6" w:rsidRDefault="00724CA6" w:rsidP="0050474C">
      <w:pPr>
        <w:spacing w:after="0" w:line="240" w:lineRule="auto"/>
        <w:contextualSpacing/>
        <w:rPr>
          <w:rFonts w:eastAsia="Calibri" w:cstheme="minorHAnsi"/>
          <w:kern w:val="36"/>
          <w:lang w:val="en-US"/>
        </w:rPr>
      </w:pPr>
    </w:p>
    <w:p w14:paraId="3629AD63" w14:textId="5F8D614F" w:rsidR="00724CA6" w:rsidRDefault="00724CA6" w:rsidP="0050474C">
      <w:pPr>
        <w:spacing w:after="0" w:line="240" w:lineRule="auto"/>
        <w:contextualSpacing/>
        <w:rPr>
          <w:rFonts w:eastAsia="Calibri" w:cstheme="minorHAnsi"/>
          <w:lang w:val="en-US"/>
        </w:rPr>
      </w:pPr>
      <w:r w:rsidRPr="00870A75">
        <w:rPr>
          <w:rFonts w:eastAsia="Calibri" w:cstheme="minorHAnsi"/>
          <w:lang w:val="en"/>
        </w:rPr>
        <w:t xml:space="preserve">Bailey B (2004) Sexuality, </w:t>
      </w:r>
      <w:r w:rsidRPr="00870A75">
        <w:rPr>
          <w:rFonts w:eastAsia="Times New Roman" w:cstheme="minorHAnsi"/>
          <w:lang w:val="en-US"/>
        </w:rPr>
        <w:t xml:space="preserve">In: </w:t>
      </w:r>
      <w:r w:rsidRPr="00870A75">
        <w:rPr>
          <w:rFonts w:eastAsia="Times New Roman" w:cstheme="minorHAnsi"/>
          <w:lang w:val="en"/>
        </w:rPr>
        <w:t>P.S Fass, ed.,</w:t>
      </w:r>
      <w:r w:rsidRPr="00870A75">
        <w:rPr>
          <w:rFonts w:eastAsia="Times New Roman" w:cstheme="minorHAnsi"/>
          <w:i/>
          <w:lang w:val="en"/>
        </w:rPr>
        <w:t xml:space="preserve"> Encyclopedia of Children and Childhood: In History and Society</w:t>
      </w:r>
      <w:r w:rsidRPr="00870A75">
        <w:rPr>
          <w:rFonts w:eastAsia="Times New Roman" w:cstheme="minorHAnsi"/>
          <w:lang w:val="en"/>
        </w:rPr>
        <w:t xml:space="preserve">, vol. </w:t>
      </w:r>
      <w:r w:rsidRPr="00870A75">
        <w:rPr>
          <w:rFonts w:eastAsia="Calibri" w:cstheme="minorHAnsi"/>
          <w:lang w:val="en"/>
        </w:rPr>
        <w:t>3. New York: Macmillan Reference USA, 743-751.</w:t>
      </w:r>
      <w:r w:rsidRPr="00870A75">
        <w:rPr>
          <w:rFonts w:eastAsia="Calibri" w:cstheme="minorHAnsi"/>
          <w:lang w:val="en-US"/>
        </w:rPr>
        <w:t xml:space="preserve"> </w:t>
      </w:r>
    </w:p>
    <w:p w14:paraId="4DDB00CB" w14:textId="77777777" w:rsidR="00724CA6" w:rsidRDefault="00724CA6" w:rsidP="0050474C">
      <w:pPr>
        <w:spacing w:after="0" w:line="240" w:lineRule="auto"/>
        <w:contextualSpacing/>
        <w:rPr>
          <w:rFonts w:eastAsia="Calibri" w:cstheme="minorHAnsi"/>
          <w:lang w:val="en-US"/>
        </w:rPr>
      </w:pPr>
    </w:p>
    <w:p w14:paraId="77ED8428" w14:textId="08AD39C7" w:rsidR="00724CA6" w:rsidRDefault="00724CA6" w:rsidP="0050474C">
      <w:pPr>
        <w:spacing w:after="0" w:line="240" w:lineRule="auto"/>
        <w:contextualSpacing/>
        <w:rPr>
          <w:rFonts w:eastAsia="Calibri" w:cstheme="minorHAnsi"/>
          <w:lang w:val="en-GB"/>
        </w:rPr>
      </w:pPr>
      <w:r w:rsidRPr="00A74345">
        <w:rPr>
          <w:rFonts w:eastAsia="Calibri" w:cstheme="minorHAnsi"/>
          <w:lang w:val="en-GB"/>
        </w:rPr>
        <w:t xml:space="preserve">Butler J (2006) </w:t>
      </w:r>
      <w:r w:rsidRPr="00A74345">
        <w:rPr>
          <w:rFonts w:eastAsia="Calibri" w:cstheme="minorHAnsi"/>
          <w:i/>
          <w:iCs/>
          <w:lang w:val="en-GB"/>
        </w:rPr>
        <w:t>Gender Trouble [Elektronisk resurs]</w:t>
      </w:r>
      <w:r w:rsidRPr="00A74345">
        <w:rPr>
          <w:rFonts w:eastAsia="Calibri" w:cstheme="minorHAnsi"/>
          <w:lang w:val="en-GB"/>
        </w:rPr>
        <w:t xml:space="preserve">. </w:t>
      </w:r>
      <w:r w:rsidRPr="00E23D60">
        <w:rPr>
          <w:rFonts w:eastAsia="Calibri" w:cstheme="minorHAnsi"/>
          <w:lang w:val="en-US"/>
        </w:rPr>
        <w:t>Taylor and Francis</w:t>
      </w:r>
      <w:r w:rsidRPr="00E23D60">
        <w:rPr>
          <w:rFonts w:eastAsia="Calibri" w:cstheme="minorHAnsi"/>
          <w:lang w:val="en-GB"/>
        </w:rPr>
        <w:t xml:space="preserve">, 1-47. </w:t>
      </w:r>
    </w:p>
    <w:p w14:paraId="788E312D" w14:textId="77777777" w:rsidR="00A90F3F" w:rsidRDefault="00A90F3F" w:rsidP="0050474C">
      <w:pPr>
        <w:spacing w:after="0" w:line="240" w:lineRule="auto"/>
        <w:contextualSpacing/>
        <w:rPr>
          <w:rFonts w:eastAsia="Calibri" w:cstheme="minorHAnsi"/>
          <w:lang w:val="en-GB"/>
        </w:rPr>
      </w:pPr>
    </w:p>
    <w:p w14:paraId="6DF3E086" w14:textId="020179CC" w:rsidR="00724CA6" w:rsidRDefault="00724CA6" w:rsidP="0050474C">
      <w:pPr>
        <w:pStyle w:val="Ingetavstnd"/>
        <w:contextualSpacing/>
        <w:rPr>
          <w:rFonts w:asciiTheme="minorHAnsi" w:hAnsiTheme="minorHAnsi" w:cstheme="minorHAnsi"/>
          <w:sz w:val="22"/>
          <w:lang w:val="en-US"/>
        </w:rPr>
      </w:pPr>
      <w:r w:rsidRPr="00870A75">
        <w:rPr>
          <w:rFonts w:asciiTheme="minorHAnsi" w:hAnsiTheme="minorHAnsi" w:cstheme="minorHAnsi"/>
          <w:color w:val="000000"/>
          <w:sz w:val="22"/>
          <w:lang w:val="en-US"/>
        </w:rPr>
        <w:t>De Ridder</w:t>
      </w:r>
      <w:r w:rsidRPr="00870A75">
        <w:rPr>
          <w:rFonts w:asciiTheme="minorHAnsi" w:hAnsiTheme="minorHAnsi" w:cstheme="minorHAnsi"/>
          <w:color w:val="000085"/>
          <w:sz w:val="22"/>
          <w:lang w:val="en-US"/>
        </w:rPr>
        <w:t xml:space="preserve"> </w:t>
      </w:r>
      <w:r w:rsidRPr="00870A75">
        <w:rPr>
          <w:rFonts w:asciiTheme="minorHAnsi" w:hAnsiTheme="minorHAnsi" w:cstheme="minorHAnsi"/>
          <w:color w:val="000000"/>
          <w:sz w:val="22"/>
          <w:lang w:val="en-US"/>
        </w:rPr>
        <w:t>S &amp; Van Bauwel S (</w:t>
      </w:r>
      <w:r w:rsidRPr="00870A75">
        <w:rPr>
          <w:rFonts w:asciiTheme="minorHAnsi" w:hAnsiTheme="minorHAnsi" w:cstheme="minorHAnsi"/>
          <w:sz w:val="22"/>
          <w:lang w:val="en-US"/>
        </w:rPr>
        <w:t xml:space="preserve">2015) </w:t>
      </w:r>
      <w:r w:rsidRPr="00870A75">
        <w:rPr>
          <w:rFonts w:asciiTheme="minorHAnsi" w:hAnsiTheme="minorHAnsi" w:cstheme="minorHAnsi"/>
          <w:color w:val="000000"/>
          <w:sz w:val="22"/>
          <w:lang w:val="en-US"/>
        </w:rPr>
        <w:t xml:space="preserve">The discursive construction of gay teenagers in times of mediatization: youth’s reflections on intimate storytelling, queer shame and realness in popular social media places. </w:t>
      </w:r>
      <w:r w:rsidRPr="00870A75">
        <w:rPr>
          <w:rFonts w:asciiTheme="minorHAnsi" w:hAnsiTheme="minorHAnsi" w:cstheme="minorHAnsi"/>
          <w:i/>
          <w:sz w:val="22"/>
          <w:lang w:val="en-US"/>
        </w:rPr>
        <w:t>Journal of Youth Studies</w:t>
      </w:r>
      <w:r w:rsidRPr="00870A75">
        <w:rPr>
          <w:rFonts w:asciiTheme="minorHAnsi" w:hAnsiTheme="minorHAnsi" w:cstheme="minorHAnsi"/>
          <w:sz w:val="22"/>
          <w:lang w:val="en-US"/>
        </w:rPr>
        <w:t xml:space="preserve"> 18(6): 777–793. </w:t>
      </w:r>
    </w:p>
    <w:p w14:paraId="0DAA30B3" w14:textId="77777777" w:rsidR="00A90F3F" w:rsidRDefault="00A90F3F" w:rsidP="0050474C">
      <w:pPr>
        <w:pStyle w:val="Ingetavstnd"/>
        <w:contextualSpacing/>
        <w:rPr>
          <w:rFonts w:asciiTheme="minorHAnsi" w:hAnsiTheme="minorHAnsi" w:cstheme="minorHAnsi"/>
          <w:sz w:val="22"/>
          <w:lang w:val="en-US"/>
        </w:rPr>
      </w:pPr>
    </w:p>
    <w:p w14:paraId="3FF96765" w14:textId="551AEF3D" w:rsidR="00724CA6" w:rsidRDefault="00724CA6" w:rsidP="0050474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lang w:val="en-US"/>
        </w:rPr>
      </w:pPr>
      <w:r w:rsidRPr="00870A75">
        <w:rPr>
          <w:rFonts w:cstheme="minorHAnsi"/>
          <w:color w:val="000000"/>
          <w:lang w:val="en-US"/>
        </w:rPr>
        <w:t xml:space="preserve">Ehrensaft D (2013) Look, Mom, I’m a boy – Don't tell anyone I was a girl. </w:t>
      </w:r>
      <w:r w:rsidRPr="00870A75">
        <w:rPr>
          <w:rFonts w:cstheme="minorHAnsi"/>
          <w:i/>
          <w:color w:val="000000"/>
          <w:lang w:val="en-US"/>
        </w:rPr>
        <w:t>Journal of LGBT Youth</w:t>
      </w:r>
      <w:r w:rsidRPr="00870A75">
        <w:rPr>
          <w:rFonts w:cstheme="minorHAnsi"/>
          <w:color w:val="000000"/>
          <w:lang w:val="en-US"/>
        </w:rPr>
        <w:t xml:space="preserve"> 10(1-2): 9-28. </w:t>
      </w:r>
    </w:p>
    <w:p w14:paraId="0558C816" w14:textId="77777777" w:rsidR="00A90F3F" w:rsidRDefault="00A90F3F" w:rsidP="0050474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lang w:val="en-US"/>
        </w:rPr>
      </w:pPr>
    </w:p>
    <w:p w14:paraId="5E006B20" w14:textId="3A00AE10" w:rsidR="00724CA6" w:rsidRDefault="00724CA6" w:rsidP="0050474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lang w:val="en-US"/>
        </w:rPr>
      </w:pPr>
      <w:r w:rsidRPr="00870A75">
        <w:rPr>
          <w:rFonts w:eastAsia="Calibri" w:cstheme="minorHAnsi"/>
          <w:lang w:val="en-US"/>
        </w:rPr>
        <w:t xml:space="preserve">Evaldsson A (2003) </w:t>
      </w:r>
      <w:r w:rsidRPr="00870A75">
        <w:rPr>
          <w:rFonts w:eastAsia="Calibri" w:cstheme="minorHAnsi"/>
          <w:color w:val="000000"/>
          <w:lang w:val="en-US"/>
        </w:rPr>
        <w:t xml:space="preserve">Throwing like a girl: </w:t>
      </w:r>
      <w:r w:rsidRPr="00870A75">
        <w:rPr>
          <w:rFonts w:eastAsia="Calibri" w:cstheme="minorHAnsi"/>
          <w:lang w:val="en-US"/>
        </w:rPr>
        <w:t xml:space="preserve">Situating gender differences in physicality across game contexts, </w:t>
      </w:r>
      <w:r w:rsidRPr="00870A75">
        <w:rPr>
          <w:rFonts w:eastAsia="Calibri" w:cstheme="minorHAnsi"/>
          <w:i/>
          <w:lang w:val="en-US"/>
        </w:rPr>
        <w:t>Childhood</w:t>
      </w:r>
      <w:r w:rsidRPr="00870A75">
        <w:rPr>
          <w:rFonts w:eastAsia="Calibri" w:cstheme="minorHAnsi"/>
          <w:lang w:val="en-US"/>
        </w:rPr>
        <w:t xml:space="preserve"> 10(4): 475-497.</w:t>
      </w:r>
    </w:p>
    <w:p w14:paraId="47226CE3" w14:textId="77777777" w:rsidR="00A90F3F" w:rsidRDefault="00A90F3F" w:rsidP="0050474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lang w:val="en-US"/>
        </w:rPr>
      </w:pPr>
    </w:p>
    <w:p w14:paraId="511A97DF" w14:textId="0EB80879" w:rsidR="00724CA6" w:rsidRDefault="00724CA6" w:rsidP="0050474C">
      <w:pPr>
        <w:autoSpaceDE w:val="0"/>
        <w:autoSpaceDN w:val="0"/>
        <w:adjustRightInd w:val="0"/>
        <w:spacing w:after="0" w:line="240" w:lineRule="auto"/>
        <w:ind w:right="-57"/>
        <w:contextualSpacing/>
        <w:rPr>
          <w:rFonts w:cstheme="minorHAnsi"/>
          <w:color w:val="000000"/>
          <w:lang w:val="en-US"/>
        </w:rPr>
      </w:pPr>
      <w:r w:rsidRPr="00870A75">
        <w:rPr>
          <w:rFonts w:cstheme="minorHAnsi"/>
          <w:color w:val="000000"/>
          <w:lang w:val="en-US"/>
        </w:rPr>
        <w:t xml:space="preserve">Fausto-Sterling A (2000) Should there be only two sexes? </w:t>
      </w:r>
      <w:r w:rsidRPr="00870A75">
        <w:rPr>
          <w:rFonts w:cstheme="minorHAnsi"/>
          <w:i/>
          <w:color w:val="000000"/>
          <w:lang w:val="en-US"/>
        </w:rPr>
        <w:t>Sexing the body: Gender politics and the construction of sexuality</w:t>
      </w:r>
      <w:r w:rsidRPr="00870A75">
        <w:rPr>
          <w:rFonts w:cstheme="minorHAnsi"/>
          <w:color w:val="000000"/>
          <w:lang w:val="en-US"/>
        </w:rPr>
        <w:t xml:space="preserve">. </w:t>
      </w:r>
      <w:r w:rsidRPr="00870A75">
        <w:rPr>
          <w:rFonts w:cstheme="minorHAnsi"/>
          <w:color w:val="000000"/>
          <w:lang w:val="en-GB"/>
        </w:rPr>
        <w:t xml:space="preserve">[pdf] </w:t>
      </w:r>
      <w:r w:rsidRPr="00870A75">
        <w:rPr>
          <w:rFonts w:cstheme="minorHAnsi"/>
          <w:color w:val="000000"/>
          <w:lang w:val="en-US"/>
        </w:rPr>
        <w:t xml:space="preserve">New York: Basic Books, 78-115. </w:t>
      </w:r>
    </w:p>
    <w:p w14:paraId="4529D2CA" w14:textId="77777777" w:rsidR="00A90F3F" w:rsidRDefault="00A90F3F" w:rsidP="0050474C">
      <w:pPr>
        <w:autoSpaceDE w:val="0"/>
        <w:autoSpaceDN w:val="0"/>
        <w:adjustRightInd w:val="0"/>
        <w:spacing w:after="0" w:line="240" w:lineRule="auto"/>
        <w:ind w:right="-57"/>
        <w:contextualSpacing/>
        <w:rPr>
          <w:rFonts w:cstheme="minorHAnsi"/>
          <w:color w:val="000000"/>
          <w:lang w:val="en-US"/>
        </w:rPr>
      </w:pPr>
    </w:p>
    <w:p w14:paraId="72F528E1" w14:textId="77777777" w:rsidR="00A90F3F" w:rsidRDefault="000D195D" w:rsidP="00A90F3F">
      <w:pPr>
        <w:autoSpaceDE w:val="0"/>
        <w:autoSpaceDN w:val="0"/>
        <w:adjustRightInd w:val="0"/>
        <w:rPr>
          <w:rFonts w:eastAsia="Calibri" w:cstheme="minorHAnsi"/>
          <w:lang w:val="en-GB"/>
        </w:rPr>
      </w:pPr>
      <w:r w:rsidRPr="000D195D">
        <w:rPr>
          <w:rFonts w:eastAsia="Calibri" w:cstheme="minorHAnsi"/>
          <w:lang w:val="en-GB"/>
        </w:rPr>
        <w:t xml:space="preserve">Fine C </w:t>
      </w:r>
      <w:r w:rsidR="00724CA6">
        <w:rPr>
          <w:rFonts w:eastAsia="Calibri" w:cstheme="minorHAnsi"/>
          <w:lang w:val="en-GB"/>
        </w:rPr>
        <w:t>and</w:t>
      </w:r>
      <w:r w:rsidRPr="000D195D">
        <w:rPr>
          <w:rFonts w:eastAsia="Calibri" w:cstheme="minorHAnsi"/>
          <w:lang w:val="en-GB"/>
        </w:rPr>
        <w:t xml:space="preserve"> Rush E (2018)</w:t>
      </w:r>
      <w:r w:rsidR="00724CA6">
        <w:rPr>
          <w:rFonts w:eastAsia="Calibri" w:cstheme="minorHAnsi"/>
          <w:lang w:val="en-GB"/>
        </w:rPr>
        <w:t>.</w:t>
      </w:r>
      <w:r w:rsidRPr="000D195D">
        <w:rPr>
          <w:rFonts w:eastAsia="Calibri" w:cstheme="minorHAnsi"/>
          <w:lang w:val="en-GB"/>
        </w:rPr>
        <w:t xml:space="preserve"> </w:t>
      </w:r>
      <w:r w:rsidRPr="000D195D">
        <w:rPr>
          <w:rFonts w:eastAsia="Calibri" w:cstheme="minorHAnsi"/>
          <w:lang w:val="en"/>
        </w:rPr>
        <w:t xml:space="preserve">“Why Does all the Girls have to Buy Pink Stuff?” The Ethics and Science of the Gendered Toy Marketing Debate, </w:t>
      </w:r>
      <w:r w:rsidRPr="000D195D">
        <w:rPr>
          <w:rFonts w:eastAsia="Calibri" w:cstheme="minorHAnsi"/>
          <w:i/>
          <w:iCs/>
          <w:lang w:val="en-GB"/>
        </w:rPr>
        <w:t>Journal of Business Ethics</w:t>
      </w:r>
      <w:r w:rsidRPr="000D195D">
        <w:rPr>
          <w:rFonts w:eastAsia="Calibri" w:cstheme="minorHAnsi"/>
          <w:lang w:val="en-GB"/>
        </w:rPr>
        <w:t xml:space="preserve">, 149(4): 769-784. </w:t>
      </w:r>
    </w:p>
    <w:p w14:paraId="50788AFD" w14:textId="1115233A" w:rsidR="00724CA6" w:rsidRDefault="00724CA6" w:rsidP="00A90F3F">
      <w:pPr>
        <w:autoSpaceDE w:val="0"/>
        <w:autoSpaceDN w:val="0"/>
        <w:adjustRightInd w:val="0"/>
        <w:rPr>
          <w:rFonts w:cstheme="minorHAnsi"/>
          <w:lang w:val="en-US"/>
        </w:rPr>
      </w:pPr>
      <w:r w:rsidRPr="00870A75">
        <w:rPr>
          <w:rFonts w:cstheme="minorHAnsi"/>
          <w:lang w:val="en-US"/>
        </w:rPr>
        <w:t xml:space="preserve">Foucault M (1990) The Incitement to discourse. </w:t>
      </w:r>
      <w:r w:rsidRPr="00870A75">
        <w:rPr>
          <w:rStyle w:val="Betoning"/>
          <w:rFonts w:cstheme="minorHAnsi"/>
          <w:lang w:val="en-US"/>
        </w:rPr>
        <w:t>The history of sexuality, Vol. 1: An introduction</w:t>
      </w:r>
      <w:r w:rsidRPr="00870A75">
        <w:rPr>
          <w:rFonts w:cstheme="minorHAnsi"/>
          <w:lang w:val="en-US"/>
        </w:rPr>
        <w:t xml:space="preserve">. Harmondsworth: Penguin, 17-35. </w:t>
      </w:r>
    </w:p>
    <w:p w14:paraId="3B78EE71" w14:textId="422E4483" w:rsidR="00724CA6" w:rsidRDefault="00724CA6" w:rsidP="0050474C">
      <w:pPr>
        <w:spacing w:after="0" w:line="240" w:lineRule="auto"/>
        <w:contextualSpacing/>
        <w:rPr>
          <w:rFonts w:eastAsia="Times New Roman" w:cstheme="minorHAnsi"/>
          <w:lang w:val="en"/>
        </w:rPr>
      </w:pPr>
      <w:r w:rsidRPr="00870A75">
        <w:rPr>
          <w:rFonts w:eastAsia="Times New Roman" w:cstheme="minorHAnsi"/>
          <w:lang w:val="en-US"/>
        </w:rPr>
        <w:t xml:space="preserve">Gorham D (2004) Gendering. In: </w:t>
      </w:r>
      <w:r w:rsidRPr="00870A75">
        <w:rPr>
          <w:rFonts w:eastAsia="Times New Roman" w:cstheme="minorHAnsi"/>
          <w:lang w:val="en"/>
        </w:rPr>
        <w:t>P.S Fass, ed.,</w:t>
      </w:r>
      <w:r w:rsidRPr="00870A75">
        <w:rPr>
          <w:rFonts w:eastAsia="Times New Roman" w:cstheme="minorHAnsi"/>
          <w:i/>
          <w:lang w:val="en"/>
        </w:rPr>
        <w:t xml:space="preserve"> Encyclopedia of Children and Childhood: In History and Society</w:t>
      </w:r>
      <w:r w:rsidRPr="00870A75">
        <w:rPr>
          <w:rFonts w:eastAsia="Times New Roman" w:cstheme="minorHAnsi"/>
          <w:lang w:val="en"/>
        </w:rPr>
        <w:t>, vol. 2. New York: Macmillan Reference USA, 377-380.</w:t>
      </w:r>
    </w:p>
    <w:p w14:paraId="04072A56" w14:textId="77777777" w:rsidR="00A90F3F" w:rsidRDefault="00A90F3F" w:rsidP="0050474C">
      <w:pPr>
        <w:spacing w:after="0" w:line="240" w:lineRule="auto"/>
        <w:contextualSpacing/>
        <w:rPr>
          <w:rFonts w:eastAsia="Times New Roman" w:cstheme="minorHAnsi"/>
          <w:lang w:val="en"/>
        </w:rPr>
      </w:pPr>
    </w:p>
    <w:p w14:paraId="41012BF6" w14:textId="77777777" w:rsidR="00091843" w:rsidRDefault="00091843" w:rsidP="0050474C">
      <w:pPr>
        <w:spacing w:after="0" w:line="240" w:lineRule="auto"/>
        <w:contextualSpacing/>
        <w:rPr>
          <w:rFonts w:eastAsia="Times New Roman" w:cstheme="minorHAnsi"/>
          <w:lang w:val="en-US"/>
        </w:rPr>
      </w:pPr>
      <w:r w:rsidRPr="00091843">
        <w:rPr>
          <w:rFonts w:eastAsia="Times New Roman" w:cstheme="minorHAnsi"/>
          <w:lang w:val="en-US"/>
        </w:rPr>
        <w:t xml:space="preserve">Ghattas, D. C. (2013). Human Rights Between the Sexes; A preliminary study on the life situations of inter* individuals, </w:t>
      </w:r>
      <w:r w:rsidRPr="00091843">
        <w:rPr>
          <w:rFonts w:eastAsia="Times New Roman" w:cstheme="minorHAnsi"/>
          <w:i/>
          <w:iCs/>
          <w:lang w:val="en-US"/>
        </w:rPr>
        <w:t>Publication Series on Democracy</w:t>
      </w:r>
      <w:r w:rsidRPr="00091843">
        <w:rPr>
          <w:rFonts w:eastAsia="Times New Roman" w:cstheme="minorHAnsi"/>
          <w:lang w:val="en-US"/>
        </w:rPr>
        <w:t xml:space="preserve"> Vol. 34. Heinrich Böll Stiftung, Lokay: Reinheim. p. 10-30. </w:t>
      </w:r>
    </w:p>
    <w:p w14:paraId="5B060942" w14:textId="77777777" w:rsidR="00091843" w:rsidRDefault="00091843" w:rsidP="0050474C">
      <w:pPr>
        <w:spacing w:after="0" w:line="240" w:lineRule="auto"/>
        <w:contextualSpacing/>
        <w:rPr>
          <w:rFonts w:eastAsia="Times New Roman" w:cstheme="minorHAnsi"/>
          <w:lang w:val="en-US"/>
        </w:rPr>
      </w:pPr>
    </w:p>
    <w:p w14:paraId="2960396C" w14:textId="650063EB" w:rsidR="00724CA6" w:rsidRDefault="00724CA6" w:rsidP="0050474C">
      <w:pPr>
        <w:spacing w:after="0" w:line="240" w:lineRule="auto"/>
        <w:contextualSpacing/>
        <w:rPr>
          <w:rFonts w:eastAsia="Times New Roman" w:cstheme="minorHAnsi"/>
          <w:lang w:val="en-US"/>
        </w:rPr>
      </w:pPr>
      <w:r w:rsidRPr="00870A75">
        <w:rPr>
          <w:rFonts w:eastAsia="Times New Roman" w:cstheme="minorHAnsi"/>
          <w:lang w:val="en-US"/>
        </w:rPr>
        <w:t>Hawkes G.L and Egan R.D (2008) Developing the sexual child.</w:t>
      </w:r>
      <w:r w:rsidRPr="00870A75">
        <w:rPr>
          <w:rFonts w:eastAsia="Times New Roman" w:cstheme="minorHAnsi"/>
          <w:i/>
          <w:lang w:val="en-US"/>
        </w:rPr>
        <w:t xml:space="preserve"> Journal of Historical Sociology</w:t>
      </w:r>
      <w:r w:rsidRPr="00870A75">
        <w:rPr>
          <w:rFonts w:eastAsia="Times New Roman" w:cstheme="minorHAnsi"/>
          <w:lang w:val="en-US"/>
        </w:rPr>
        <w:t xml:space="preserve"> 21(4): 443-465.</w:t>
      </w:r>
    </w:p>
    <w:p w14:paraId="0BDADFAE" w14:textId="77777777" w:rsidR="00A90F3F" w:rsidRDefault="00A90F3F" w:rsidP="0050474C">
      <w:pPr>
        <w:spacing w:after="0" w:line="240" w:lineRule="auto"/>
        <w:contextualSpacing/>
        <w:rPr>
          <w:rFonts w:eastAsia="Times New Roman" w:cstheme="minorHAnsi"/>
          <w:lang w:val="en-US"/>
        </w:rPr>
      </w:pPr>
    </w:p>
    <w:p w14:paraId="6B87ABF0" w14:textId="66C3CAF5" w:rsidR="00724CA6" w:rsidRDefault="00724CA6" w:rsidP="00D14013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color w:val="222222"/>
          <w:lang w:val="en-GB"/>
        </w:rPr>
      </w:pPr>
      <w:r w:rsidRPr="00D14013">
        <w:rPr>
          <w:rFonts w:eastAsia="Times New Roman" w:cstheme="minorHAnsi"/>
          <w:iCs/>
          <w:color w:val="222222"/>
          <w:lang w:val="en-GB"/>
        </w:rPr>
        <w:lastRenderedPageBreak/>
        <w:t>Kassay</w:t>
      </w:r>
      <w:r>
        <w:rPr>
          <w:rFonts w:eastAsia="Times New Roman" w:cstheme="minorHAnsi"/>
          <w:iCs/>
          <w:color w:val="222222"/>
          <w:lang w:val="en-GB"/>
        </w:rPr>
        <w:t xml:space="preserve"> </w:t>
      </w:r>
      <w:r w:rsidRPr="00D14013">
        <w:rPr>
          <w:rFonts w:eastAsia="Times New Roman" w:cstheme="minorHAnsi"/>
          <w:iCs/>
          <w:color w:val="222222"/>
          <w:lang w:val="en-GB"/>
        </w:rPr>
        <w:t>R (2019)</w:t>
      </w:r>
      <w:r>
        <w:rPr>
          <w:rFonts w:eastAsia="Times New Roman" w:cstheme="minorHAnsi"/>
          <w:iCs/>
          <w:color w:val="222222"/>
          <w:lang w:val="en-GB"/>
        </w:rPr>
        <w:t>.</w:t>
      </w:r>
      <w:r w:rsidRPr="00D14013">
        <w:rPr>
          <w:rFonts w:eastAsia="Times New Roman" w:cstheme="minorHAnsi"/>
          <w:iCs/>
          <w:color w:val="222222"/>
          <w:lang w:val="en-GB"/>
        </w:rPr>
        <w:t xml:space="preserve"> Barbie princesses and </w:t>
      </w:r>
      <w:r w:rsidRPr="00D14013">
        <w:rPr>
          <w:rFonts w:eastAsia="Times New Roman" w:cstheme="minorHAnsi"/>
          <w:i/>
          <w:iCs/>
          <w:color w:val="222222"/>
          <w:lang w:val="en-GB"/>
        </w:rPr>
        <w:t xml:space="preserve">StarWars </w:t>
      </w:r>
      <w:r w:rsidRPr="00D14013">
        <w:rPr>
          <w:rFonts w:eastAsia="Times New Roman" w:cstheme="minorHAnsi"/>
          <w:iCs/>
          <w:color w:val="222222"/>
          <w:lang w:val="en-GB"/>
        </w:rPr>
        <w:t xml:space="preserve">clones: gender stereotypes in the representation of children’s favourite heroes—a participant study in urban and rural contexts, among Hungarians from Romania, </w:t>
      </w:r>
      <w:r w:rsidRPr="00D14013">
        <w:rPr>
          <w:rFonts w:eastAsia="Times New Roman" w:cstheme="minorHAnsi"/>
          <w:i/>
          <w:iCs/>
          <w:color w:val="222222"/>
          <w:lang w:val="en-GB"/>
        </w:rPr>
        <w:t>Feminist Media Studies</w:t>
      </w:r>
      <w:r w:rsidRPr="00D14013">
        <w:rPr>
          <w:rFonts w:eastAsia="Times New Roman" w:cstheme="minorHAnsi"/>
          <w:iCs/>
          <w:color w:val="222222"/>
          <w:lang w:val="en-GB"/>
        </w:rPr>
        <w:t>, 19(5): 684-701.</w:t>
      </w:r>
    </w:p>
    <w:p w14:paraId="004E146A" w14:textId="77777777" w:rsidR="00A90F3F" w:rsidRPr="00D14013" w:rsidRDefault="00A90F3F" w:rsidP="00D14013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color w:val="222222"/>
          <w:lang w:val="en-GB"/>
        </w:rPr>
      </w:pPr>
    </w:p>
    <w:p w14:paraId="4EDC0FDF" w14:textId="4E71E034" w:rsidR="00724CA6" w:rsidRDefault="00724CA6" w:rsidP="0050474C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 New Roman"/>
          <w:lang w:val="en-US"/>
        </w:rPr>
      </w:pPr>
      <w:r w:rsidRPr="00870A75">
        <w:rPr>
          <w:rFonts w:cstheme="minorHAnsi"/>
          <w:lang w:val="en-US"/>
        </w:rPr>
        <w:t xml:space="preserve">Martino W.J &amp; Cumming-Potvin W (2015) Teaching about ‘‘Princess Boys’’ or not: The case of one male elementary school teacher and the polemics of gender expression and embodiment, </w:t>
      </w:r>
      <w:r w:rsidRPr="00870A75">
        <w:rPr>
          <w:rFonts w:cstheme="minorHAnsi"/>
          <w:i/>
          <w:lang w:val="en-US"/>
        </w:rPr>
        <w:t>Men and Masculinities</w:t>
      </w:r>
      <w:r w:rsidRPr="00870A75">
        <w:rPr>
          <w:rFonts w:cstheme="minorHAnsi"/>
          <w:lang w:val="en-US"/>
        </w:rPr>
        <w:t xml:space="preserve"> 18(1): 79-99.</w:t>
      </w:r>
      <w:r w:rsidRPr="00772C2D">
        <w:rPr>
          <w:rFonts w:asciiTheme="majorHAnsi" w:hAnsiTheme="majorHAnsi" w:cs="Times New Roman"/>
          <w:lang w:val="en-US"/>
        </w:rPr>
        <w:t xml:space="preserve"> </w:t>
      </w:r>
      <w:r w:rsidRPr="0053017E">
        <w:rPr>
          <w:rFonts w:ascii="Arial" w:hAnsi="Arial" w:cs="Arial"/>
          <w:vanish/>
          <w:color w:val="FF0000"/>
          <w:sz w:val="27"/>
          <w:szCs w:val="27"/>
          <w:lang w:val="en-US"/>
        </w:rPr>
        <w:t xml:space="preserve">Busfield J (1996) </w:t>
      </w:r>
    </w:p>
    <w:p w14:paraId="01B2FF7E" w14:textId="77777777" w:rsidR="00A90F3F" w:rsidRDefault="00A90F3F" w:rsidP="0050474C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 New Roman"/>
          <w:lang w:val="en-US"/>
        </w:rPr>
      </w:pPr>
    </w:p>
    <w:p w14:paraId="6BD7F8E6" w14:textId="4B00230B" w:rsidR="00724CA6" w:rsidRDefault="00724CA6" w:rsidP="00B170F3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color w:val="222222"/>
          <w:lang w:val="en-GB"/>
        </w:rPr>
      </w:pPr>
      <w:r w:rsidRPr="00B170F3">
        <w:rPr>
          <w:rFonts w:eastAsia="Times New Roman" w:cstheme="minorHAnsi"/>
          <w:iCs/>
          <w:color w:val="222222"/>
          <w:lang w:val="en-GB"/>
        </w:rPr>
        <w:t xml:space="preserve">Rahman M </w:t>
      </w:r>
      <w:r>
        <w:rPr>
          <w:rFonts w:eastAsia="Times New Roman" w:cstheme="minorHAnsi"/>
          <w:iCs/>
          <w:color w:val="222222"/>
          <w:lang w:val="en-GB"/>
        </w:rPr>
        <w:t>and</w:t>
      </w:r>
      <w:r w:rsidRPr="00B170F3">
        <w:rPr>
          <w:rFonts w:eastAsia="Times New Roman" w:cstheme="minorHAnsi"/>
          <w:iCs/>
          <w:color w:val="222222"/>
          <w:lang w:val="en-GB"/>
        </w:rPr>
        <w:t xml:space="preserve"> Jackson S (2010). </w:t>
      </w:r>
      <w:r w:rsidRPr="00B170F3">
        <w:rPr>
          <w:rFonts w:eastAsia="Times New Roman" w:cstheme="minorHAnsi"/>
          <w:i/>
          <w:iCs/>
          <w:color w:val="222222"/>
          <w:lang w:val="en-GB"/>
        </w:rPr>
        <w:t>Gender and sexuality: sociological approaches</w:t>
      </w:r>
      <w:r w:rsidRPr="00B170F3">
        <w:rPr>
          <w:rFonts w:eastAsia="Times New Roman" w:cstheme="minorHAnsi"/>
          <w:iCs/>
          <w:color w:val="222222"/>
          <w:lang w:val="en-GB"/>
        </w:rPr>
        <w:t>. Cambridge: Polity,</w:t>
      </w:r>
      <w:r>
        <w:rPr>
          <w:rFonts w:eastAsia="Times New Roman" w:cstheme="minorHAnsi"/>
          <w:iCs/>
          <w:color w:val="222222"/>
          <w:lang w:val="en-GB"/>
        </w:rPr>
        <w:t xml:space="preserve"> </w:t>
      </w:r>
      <w:r w:rsidRPr="00B170F3">
        <w:rPr>
          <w:rFonts w:eastAsia="Times New Roman" w:cstheme="minorHAnsi"/>
          <w:iCs/>
          <w:color w:val="222222"/>
          <w:lang w:val="en-GB"/>
        </w:rPr>
        <w:t>1-</w:t>
      </w:r>
      <w:r>
        <w:rPr>
          <w:rFonts w:eastAsia="Times New Roman" w:cstheme="minorHAnsi"/>
          <w:iCs/>
          <w:color w:val="222222"/>
          <w:lang w:val="en-GB"/>
        </w:rPr>
        <w:t>15.</w:t>
      </w:r>
    </w:p>
    <w:p w14:paraId="5F4D4586" w14:textId="77777777" w:rsidR="00A90F3F" w:rsidRDefault="00A90F3F" w:rsidP="00B170F3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color w:val="222222"/>
          <w:lang w:val="en-GB"/>
        </w:rPr>
      </w:pPr>
    </w:p>
    <w:p w14:paraId="57748A10" w14:textId="77777777" w:rsidR="00724CA6" w:rsidRDefault="00724CA6" w:rsidP="00202E9E">
      <w:pPr>
        <w:autoSpaceDE w:val="0"/>
        <w:autoSpaceDN w:val="0"/>
        <w:adjustRightInd w:val="0"/>
        <w:rPr>
          <w:rFonts w:eastAsia="Calibri" w:cstheme="minorHAnsi"/>
          <w:lang w:val="en-US"/>
        </w:rPr>
      </w:pPr>
      <w:r w:rsidRPr="00E016A4">
        <w:rPr>
          <w:rFonts w:eastAsia="Calibri" w:cstheme="minorHAnsi"/>
          <w:lang w:val="en-GB"/>
        </w:rPr>
        <w:t>Reich</w:t>
      </w:r>
      <w:r w:rsidRPr="00D14013">
        <w:rPr>
          <w:rFonts w:eastAsia="Calibri" w:cstheme="minorHAnsi"/>
          <w:lang w:val="en-GB"/>
        </w:rPr>
        <w:t xml:space="preserve"> </w:t>
      </w:r>
      <w:r w:rsidRPr="00E016A4">
        <w:rPr>
          <w:rFonts w:eastAsia="Calibri" w:cstheme="minorHAnsi"/>
          <w:lang w:val="en-GB"/>
        </w:rPr>
        <w:t>SM</w:t>
      </w:r>
      <w:r w:rsidRPr="00D14013">
        <w:rPr>
          <w:rFonts w:eastAsia="Calibri" w:cstheme="minorHAnsi"/>
          <w:lang w:val="en-GB"/>
        </w:rPr>
        <w:t xml:space="preserve">, </w:t>
      </w:r>
      <w:r w:rsidRPr="00E016A4">
        <w:rPr>
          <w:rFonts w:eastAsia="Calibri" w:cstheme="minorHAnsi"/>
          <w:lang w:val="en-GB"/>
        </w:rPr>
        <w:t>Black</w:t>
      </w:r>
      <w:r w:rsidRPr="00D14013">
        <w:rPr>
          <w:rFonts w:eastAsia="Calibri" w:cstheme="minorHAnsi"/>
          <w:lang w:val="en-GB"/>
        </w:rPr>
        <w:t xml:space="preserve"> </w:t>
      </w:r>
      <w:r w:rsidRPr="00E016A4">
        <w:rPr>
          <w:rFonts w:eastAsia="Calibri" w:cstheme="minorHAnsi"/>
          <w:lang w:val="en-GB"/>
        </w:rPr>
        <w:t>RW</w:t>
      </w:r>
      <w:r w:rsidRPr="00D14013">
        <w:rPr>
          <w:rFonts w:eastAsia="Calibri" w:cstheme="minorHAnsi"/>
          <w:lang w:val="en-GB"/>
        </w:rPr>
        <w:t xml:space="preserve"> and </w:t>
      </w:r>
      <w:r w:rsidRPr="00E016A4">
        <w:rPr>
          <w:rFonts w:eastAsia="Calibri" w:cstheme="minorHAnsi"/>
          <w:lang w:val="en-GB"/>
        </w:rPr>
        <w:t>Foliaki</w:t>
      </w:r>
      <w:r w:rsidRPr="00D14013">
        <w:rPr>
          <w:rFonts w:eastAsia="Calibri" w:cstheme="minorHAnsi"/>
          <w:lang w:val="en-GB"/>
        </w:rPr>
        <w:t xml:space="preserve"> T (2018). Constructing Difference: Lego® Set Narratives Promote Stereotypic Gender Roles and Play, </w:t>
      </w:r>
      <w:r w:rsidRPr="00D14013">
        <w:rPr>
          <w:rFonts w:eastAsia="Calibri" w:cstheme="minorHAnsi"/>
          <w:i/>
          <w:iCs/>
          <w:lang w:val="en-US"/>
        </w:rPr>
        <w:t>Sex Roles</w:t>
      </w:r>
      <w:r w:rsidRPr="00D14013">
        <w:rPr>
          <w:rFonts w:eastAsia="Calibri" w:cstheme="minorHAnsi"/>
          <w:lang w:val="en-US"/>
        </w:rPr>
        <w:t xml:space="preserve"> 79(5-6): 285-298.</w:t>
      </w:r>
    </w:p>
    <w:p w14:paraId="2CE1610E" w14:textId="33F623C4" w:rsidR="00724CA6" w:rsidRDefault="00724CA6" w:rsidP="0050474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36"/>
          <w:lang w:val="en-US"/>
        </w:rPr>
      </w:pPr>
      <w:r w:rsidRPr="00870A75">
        <w:rPr>
          <w:rFonts w:eastAsia="Calibri" w:cstheme="minorHAnsi"/>
          <w:kern w:val="36"/>
          <w:lang w:val="en-US"/>
        </w:rPr>
        <w:t xml:space="preserve">Renold E (2013) Children, sexuality and body cultures. </w:t>
      </w:r>
      <w:r w:rsidRPr="00870A75">
        <w:rPr>
          <w:rFonts w:eastAsia="Calibri" w:cstheme="minorHAnsi"/>
          <w:i/>
          <w:kern w:val="36"/>
          <w:lang w:val="en-US"/>
        </w:rPr>
        <w:t>Boys and girls speak out: A qualitative study of children’s gender and sexual cultures (age 10-12)</w:t>
      </w:r>
      <w:r w:rsidRPr="00870A75">
        <w:rPr>
          <w:rFonts w:eastAsia="Calibri" w:cstheme="minorHAnsi"/>
          <w:kern w:val="36"/>
          <w:lang w:val="en-US"/>
        </w:rPr>
        <w:t xml:space="preserve">. </w:t>
      </w:r>
      <w:r w:rsidRPr="00870A75">
        <w:rPr>
          <w:rFonts w:eastAsia="Calibri" w:cstheme="minorHAnsi"/>
          <w:kern w:val="36"/>
          <w:lang w:val="en-GB"/>
        </w:rPr>
        <w:t xml:space="preserve">[pdf] Cardiff University, </w:t>
      </w:r>
      <w:r w:rsidRPr="00870A75">
        <w:rPr>
          <w:rFonts w:eastAsia="Calibri" w:cstheme="minorHAnsi"/>
          <w:kern w:val="36"/>
          <w:lang w:val="en-US"/>
        </w:rPr>
        <w:t>38-74.</w:t>
      </w:r>
    </w:p>
    <w:p w14:paraId="04C6E1F6" w14:textId="77777777" w:rsidR="00A90F3F" w:rsidRDefault="00A90F3F" w:rsidP="0050474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36"/>
          <w:lang w:val="en-US"/>
        </w:rPr>
      </w:pPr>
    </w:p>
    <w:p w14:paraId="5D55165F" w14:textId="5CD73FFB" w:rsidR="00724CA6" w:rsidRDefault="00724CA6" w:rsidP="0050474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36"/>
          <w:lang w:val="en-US"/>
        </w:rPr>
      </w:pPr>
      <w:r w:rsidRPr="00870A75">
        <w:rPr>
          <w:rFonts w:eastAsia="Calibri" w:cstheme="minorHAnsi"/>
          <w:kern w:val="36"/>
          <w:lang w:val="en-US"/>
        </w:rPr>
        <w:t xml:space="preserve">Robinson K.H (2013) Children’s sexual subjectivities. </w:t>
      </w:r>
      <w:r w:rsidRPr="00870A75">
        <w:rPr>
          <w:rFonts w:eastAsia="Calibri" w:cstheme="minorHAnsi"/>
          <w:i/>
          <w:kern w:val="36"/>
          <w:lang w:val="en-US"/>
        </w:rPr>
        <w:t>Innocence, knowledge and the construction of childhood</w:t>
      </w:r>
      <w:r w:rsidRPr="00870A75">
        <w:rPr>
          <w:rFonts w:eastAsia="Calibri" w:cstheme="minorHAnsi"/>
          <w:kern w:val="36"/>
          <w:lang w:val="en-US"/>
        </w:rPr>
        <w:t xml:space="preserve">. </w:t>
      </w:r>
      <w:r w:rsidRPr="00870A75">
        <w:rPr>
          <w:rFonts w:eastAsia="Calibri" w:cstheme="minorHAnsi"/>
          <w:kern w:val="36"/>
          <w:lang w:val="en-GB"/>
        </w:rPr>
        <w:t xml:space="preserve">[e-book] </w:t>
      </w:r>
      <w:r w:rsidRPr="00870A75">
        <w:rPr>
          <w:rFonts w:eastAsia="Calibri" w:cstheme="minorHAnsi"/>
          <w:kern w:val="36"/>
          <w:lang w:val="en-US"/>
        </w:rPr>
        <w:t>London, New York: Routledge, 87-110.</w:t>
      </w:r>
    </w:p>
    <w:p w14:paraId="48BE6111" w14:textId="77777777" w:rsidR="00A90F3F" w:rsidRDefault="00A90F3F" w:rsidP="0050474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36"/>
          <w:lang w:val="en-US"/>
        </w:rPr>
      </w:pPr>
    </w:p>
    <w:p w14:paraId="244834DF" w14:textId="4A9E9DB2" w:rsidR="00724CA6" w:rsidRDefault="00724CA6" w:rsidP="0050474C">
      <w:pPr>
        <w:spacing w:after="0" w:line="240" w:lineRule="auto"/>
        <w:contextualSpacing/>
        <w:rPr>
          <w:rFonts w:eastAsia="Calibri" w:cstheme="minorHAnsi"/>
          <w:lang w:val="en-US"/>
        </w:rPr>
      </w:pPr>
      <w:r w:rsidRPr="00870A75">
        <w:rPr>
          <w:rFonts w:eastAsia="Calibri" w:cstheme="minorHAnsi"/>
          <w:lang w:val="en-US"/>
        </w:rPr>
        <w:t xml:space="preserve">Sparrman A (2014) Access and gatekeeping in researching children’s sexuality: Mess in ethics and methods, </w:t>
      </w:r>
      <w:r w:rsidRPr="00870A75">
        <w:rPr>
          <w:rFonts w:eastAsia="Calibri" w:cstheme="minorHAnsi"/>
          <w:i/>
          <w:lang w:val="en-US"/>
        </w:rPr>
        <w:t>Sexuality &amp; Culture</w:t>
      </w:r>
      <w:r w:rsidRPr="00870A75">
        <w:rPr>
          <w:rFonts w:eastAsia="Calibri" w:cstheme="minorHAnsi"/>
          <w:lang w:val="en-US"/>
        </w:rPr>
        <w:t xml:space="preserve"> 18(2):291-309. </w:t>
      </w:r>
    </w:p>
    <w:p w14:paraId="42148B4F" w14:textId="77777777" w:rsidR="00A90F3F" w:rsidRDefault="00A90F3F" w:rsidP="0050474C">
      <w:pPr>
        <w:spacing w:after="0" w:line="240" w:lineRule="auto"/>
        <w:contextualSpacing/>
        <w:rPr>
          <w:rFonts w:eastAsia="Calibri" w:cstheme="minorHAnsi"/>
          <w:lang w:val="en-US"/>
        </w:rPr>
      </w:pPr>
    </w:p>
    <w:p w14:paraId="01211A3E" w14:textId="293120C7" w:rsidR="00724CA6" w:rsidRDefault="00724CA6" w:rsidP="0050474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36"/>
          <w:lang w:val="en-US"/>
        </w:rPr>
      </w:pPr>
      <w:r w:rsidRPr="00870A75">
        <w:rPr>
          <w:rFonts w:eastAsia="Calibri" w:cstheme="minorHAnsi"/>
          <w:kern w:val="36"/>
          <w:lang w:val="en-US"/>
        </w:rPr>
        <w:t xml:space="preserve">Sparrman A (2015) Seeing (with) the ‘sexy’ body: Young children’s visual enactment of sexuality. In: E Renold, J Ringrose and R.D Egan (eds) </w:t>
      </w:r>
      <w:r w:rsidRPr="00870A75">
        <w:rPr>
          <w:rFonts w:eastAsia="Calibri" w:cstheme="minorHAnsi"/>
          <w:i/>
          <w:kern w:val="36"/>
          <w:lang w:val="en-US"/>
        </w:rPr>
        <w:t>Children, sexuality and sexualization</w:t>
      </w:r>
      <w:r w:rsidRPr="00870A75">
        <w:rPr>
          <w:rFonts w:eastAsia="Calibri" w:cstheme="minorHAnsi"/>
          <w:kern w:val="36"/>
          <w:lang w:val="en-US"/>
        </w:rPr>
        <w:t xml:space="preserve">. Basingstoke Palgrave Macmillan, 123-140. </w:t>
      </w:r>
    </w:p>
    <w:p w14:paraId="5CC34C48" w14:textId="77777777" w:rsidR="00A90F3F" w:rsidRDefault="00A90F3F" w:rsidP="0050474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36"/>
          <w:lang w:val="en-US"/>
        </w:rPr>
      </w:pPr>
    </w:p>
    <w:p w14:paraId="6DF87E15" w14:textId="4B5245C4" w:rsidR="00724CA6" w:rsidRDefault="00724CA6" w:rsidP="0050474C">
      <w:pPr>
        <w:spacing w:after="0" w:line="240" w:lineRule="auto"/>
        <w:contextualSpacing/>
        <w:rPr>
          <w:rFonts w:eastAsia="Calibri" w:cstheme="minorHAnsi"/>
          <w:i/>
          <w:iCs/>
          <w:lang w:val="en-US"/>
        </w:rPr>
      </w:pPr>
      <w:r w:rsidRPr="00870A75">
        <w:rPr>
          <w:rFonts w:eastAsia="Calibri" w:cstheme="minorHAnsi"/>
          <w:lang w:val="en-US"/>
        </w:rPr>
        <w:t xml:space="preserve">Taefi N (2009) The Synthesis of age and gender: Intersectionality, international human rights law and the marginalisation of the girl-child, </w:t>
      </w:r>
      <w:r w:rsidRPr="00870A75">
        <w:rPr>
          <w:rFonts w:eastAsia="Calibri" w:cstheme="minorHAnsi"/>
          <w:i/>
          <w:iCs/>
          <w:lang w:val="en-US"/>
        </w:rPr>
        <w:t xml:space="preserve">International Journal of Children’s Rights </w:t>
      </w:r>
      <w:r w:rsidRPr="00870A75">
        <w:rPr>
          <w:rFonts w:eastAsia="Calibri" w:cstheme="minorHAnsi"/>
          <w:iCs/>
          <w:lang w:val="en-US"/>
        </w:rPr>
        <w:t>17: 345-376</w:t>
      </w:r>
      <w:r w:rsidRPr="00870A75">
        <w:rPr>
          <w:rFonts w:eastAsia="Calibri" w:cstheme="minorHAnsi"/>
          <w:i/>
          <w:iCs/>
          <w:lang w:val="en-US"/>
        </w:rPr>
        <w:t xml:space="preserve">. </w:t>
      </w:r>
    </w:p>
    <w:p w14:paraId="2E4B415A" w14:textId="77777777" w:rsidR="00A90F3F" w:rsidRDefault="00A90F3F" w:rsidP="0050474C">
      <w:pPr>
        <w:spacing w:after="0" w:line="240" w:lineRule="auto"/>
        <w:contextualSpacing/>
        <w:rPr>
          <w:rFonts w:eastAsia="Calibri" w:cstheme="minorHAnsi"/>
          <w:i/>
          <w:iCs/>
          <w:lang w:val="en-US"/>
        </w:rPr>
      </w:pPr>
    </w:p>
    <w:p w14:paraId="7109E95B" w14:textId="1816E8AC" w:rsidR="00724CA6" w:rsidRDefault="00724CA6" w:rsidP="0050474C">
      <w:pPr>
        <w:spacing w:after="0" w:line="240" w:lineRule="auto"/>
        <w:contextualSpacing/>
        <w:rPr>
          <w:rFonts w:eastAsia="Times New Roman" w:cstheme="minorHAnsi"/>
          <w:lang w:val="en-US"/>
        </w:rPr>
      </w:pPr>
      <w:r w:rsidRPr="00870A75">
        <w:rPr>
          <w:rFonts w:eastAsia="Times New Roman" w:cstheme="minorHAnsi"/>
          <w:lang w:val="en-US"/>
        </w:rPr>
        <w:t>Weeks J (2003) The languages of sex, In</w:t>
      </w:r>
      <w:r w:rsidRPr="00870A75">
        <w:rPr>
          <w:rFonts w:eastAsia="Times New Roman" w:cstheme="minorHAnsi"/>
          <w:i/>
          <w:lang w:val="en-US"/>
        </w:rPr>
        <w:t xml:space="preserve"> Sexuality</w:t>
      </w:r>
      <w:r w:rsidRPr="00870A75">
        <w:rPr>
          <w:rFonts w:eastAsia="Times New Roman" w:cstheme="minorHAnsi"/>
          <w:lang w:val="en-US"/>
        </w:rPr>
        <w:t xml:space="preserve">, 2nd ed. </w:t>
      </w:r>
      <w:r w:rsidRPr="00870A75">
        <w:rPr>
          <w:rFonts w:eastAsia="Times New Roman" w:cstheme="minorHAnsi"/>
          <w:lang w:val="en-GB"/>
        </w:rPr>
        <w:t xml:space="preserve">[e-book] </w:t>
      </w:r>
      <w:r w:rsidRPr="00870A75">
        <w:rPr>
          <w:rFonts w:eastAsia="Times New Roman" w:cstheme="minorHAnsi"/>
          <w:lang w:val="en-US"/>
        </w:rPr>
        <w:t>London, New York: Routledge, 1-10.</w:t>
      </w:r>
    </w:p>
    <w:p w14:paraId="41E8D332" w14:textId="77777777" w:rsidR="00A90F3F" w:rsidRDefault="00A90F3F" w:rsidP="0050474C">
      <w:pPr>
        <w:spacing w:after="0" w:line="240" w:lineRule="auto"/>
        <w:contextualSpacing/>
        <w:rPr>
          <w:rFonts w:eastAsia="Times New Roman" w:cstheme="minorHAnsi"/>
          <w:lang w:val="en-US"/>
        </w:rPr>
      </w:pPr>
    </w:p>
    <w:p w14:paraId="244A4BDC" w14:textId="77777777" w:rsidR="00724CA6" w:rsidRDefault="00724CA6" w:rsidP="000D195D">
      <w:pPr>
        <w:autoSpaceDE w:val="0"/>
        <w:autoSpaceDN w:val="0"/>
        <w:adjustRightInd w:val="0"/>
        <w:rPr>
          <w:rFonts w:eastAsia="Calibri" w:cstheme="minorHAnsi"/>
          <w:lang w:val="en-GB"/>
        </w:rPr>
      </w:pPr>
      <w:r w:rsidRPr="00706438">
        <w:rPr>
          <w:rFonts w:eastAsia="Calibri" w:cstheme="minorHAnsi"/>
          <w:lang w:val="en-US"/>
        </w:rPr>
        <w:t>Young</w:t>
      </w:r>
      <w:r w:rsidRPr="00706438">
        <w:rPr>
          <w:rFonts w:eastAsia="Calibri" w:cstheme="minorHAnsi"/>
          <w:b/>
          <w:bCs/>
          <w:lang w:val="en-GB"/>
        </w:rPr>
        <w:t xml:space="preserve"> </w:t>
      </w:r>
      <w:r w:rsidRPr="00706438">
        <w:rPr>
          <w:rFonts w:eastAsia="Calibri" w:cstheme="minorHAnsi"/>
          <w:lang w:val="en-GB"/>
        </w:rPr>
        <w:t>IM (1980)</w:t>
      </w:r>
      <w:r>
        <w:rPr>
          <w:rFonts w:eastAsia="Calibri" w:cstheme="minorHAnsi"/>
          <w:lang w:val="en-GB"/>
        </w:rPr>
        <w:t>.</w:t>
      </w:r>
      <w:r w:rsidRPr="00706438">
        <w:rPr>
          <w:rFonts w:eastAsia="Calibri" w:cstheme="minorHAnsi"/>
          <w:lang w:val="en-GB"/>
        </w:rPr>
        <w:t xml:space="preserve"> </w:t>
      </w:r>
      <w:r w:rsidRPr="006C6603">
        <w:rPr>
          <w:rFonts w:eastAsia="Calibri" w:cstheme="minorHAnsi"/>
          <w:lang w:val="en-GB"/>
        </w:rPr>
        <w:t>Throwing Like a Girl:</w:t>
      </w:r>
      <w:r w:rsidRPr="00706438">
        <w:rPr>
          <w:rFonts w:eastAsia="Calibri" w:cstheme="minorHAnsi"/>
          <w:lang w:val="en-GB"/>
        </w:rPr>
        <w:t xml:space="preserve"> </w:t>
      </w:r>
      <w:r w:rsidRPr="006C6603">
        <w:rPr>
          <w:rFonts w:eastAsia="Calibri" w:cstheme="minorHAnsi"/>
          <w:lang w:val="en-GB"/>
        </w:rPr>
        <w:t>A Phenomenology</w:t>
      </w:r>
      <w:r w:rsidRPr="00706438">
        <w:rPr>
          <w:rFonts w:eastAsia="Calibri" w:cstheme="minorHAnsi"/>
          <w:lang w:val="en-GB"/>
        </w:rPr>
        <w:t xml:space="preserve"> </w:t>
      </w:r>
      <w:r w:rsidRPr="006C6603">
        <w:rPr>
          <w:rFonts w:eastAsia="Calibri" w:cstheme="minorHAnsi"/>
          <w:lang w:val="en-GB"/>
        </w:rPr>
        <w:t>of Feminine Body</w:t>
      </w:r>
      <w:r w:rsidRPr="00706438">
        <w:rPr>
          <w:rFonts w:eastAsia="Calibri" w:cstheme="minorHAnsi"/>
          <w:lang w:val="en-GB"/>
        </w:rPr>
        <w:t xml:space="preserve"> </w:t>
      </w:r>
      <w:r w:rsidRPr="006C6603">
        <w:rPr>
          <w:rFonts w:eastAsia="Calibri" w:cstheme="minorHAnsi"/>
          <w:lang w:val="en-GB"/>
        </w:rPr>
        <w:t>Comportment</w:t>
      </w:r>
      <w:r w:rsidRPr="00706438">
        <w:rPr>
          <w:rFonts w:eastAsia="Calibri" w:cstheme="minorHAnsi"/>
          <w:lang w:val="en-GB"/>
        </w:rPr>
        <w:t xml:space="preserve"> </w:t>
      </w:r>
      <w:r w:rsidRPr="006C6603">
        <w:rPr>
          <w:rFonts w:eastAsia="Calibri" w:cstheme="minorHAnsi"/>
          <w:lang w:val="en-GB"/>
        </w:rPr>
        <w:t>Motility and Spatiality*</w:t>
      </w:r>
      <w:r w:rsidRPr="00706438">
        <w:rPr>
          <w:rFonts w:eastAsia="Calibri" w:cstheme="minorHAnsi"/>
          <w:lang w:val="en-GB"/>
        </w:rPr>
        <w:t xml:space="preserve">, </w:t>
      </w:r>
      <w:r w:rsidRPr="00706438">
        <w:rPr>
          <w:rFonts w:eastAsia="Calibri" w:cstheme="minorHAnsi"/>
          <w:i/>
          <w:iCs/>
          <w:lang w:val="en-GB"/>
        </w:rPr>
        <w:t>Human Studies</w:t>
      </w:r>
      <w:r w:rsidRPr="00706438">
        <w:rPr>
          <w:rFonts w:eastAsia="Calibri" w:cstheme="minorHAnsi"/>
          <w:lang w:val="en-GB"/>
        </w:rPr>
        <w:t xml:space="preserve"> 3:</w:t>
      </w:r>
      <w:r w:rsidRPr="00706438">
        <w:rPr>
          <w:rFonts w:eastAsia="Calibri" w:cstheme="minorHAnsi"/>
          <w:b/>
          <w:bCs/>
          <w:lang w:val="en-GB"/>
        </w:rPr>
        <w:t xml:space="preserve"> </w:t>
      </w:r>
      <w:r w:rsidRPr="00706438">
        <w:rPr>
          <w:rFonts w:eastAsia="Calibri" w:cstheme="minorHAnsi"/>
          <w:lang w:val="en-GB"/>
        </w:rPr>
        <w:t>137-156.</w:t>
      </w:r>
    </w:p>
    <w:p w14:paraId="514CFDE1" w14:textId="77777777" w:rsidR="00724CA6" w:rsidRDefault="00724CA6" w:rsidP="0050474C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color w:val="222222"/>
          <w:lang w:val="en"/>
        </w:rPr>
      </w:pPr>
      <w:r w:rsidRPr="00870A75">
        <w:rPr>
          <w:rFonts w:eastAsia="Times New Roman" w:cstheme="minorHAnsi"/>
          <w:color w:val="222222"/>
          <w:lang w:val="en"/>
        </w:rPr>
        <w:t xml:space="preserve">Zeiler K and Wickström A (2009) </w:t>
      </w:r>
      <w:r w:rsidRPr="00870A75">
        <w:rPr>
          <w:rFonts w:eastAsia="Times New Roman" w:cstheme="minorHAnsi"/>
          <w:bCs/>
          <w:color w:val="222222"/>
          <w:lang w:val="en"/>
        </w:rPr>
        <w:t>Why do ‘we’ perform surgery on newborn intersexed children?: The phenomenology of the parental experience of having a child with intersex anatomies,</w:t>
      </w:r>
      <w:r w:rsidRPr="00870A75">
        <w:rPr>
          <w:rFonts w:eastAsia="Times New Roman" w:cstheme="minorHAnsi"/>
          <w:b/>
          <w:bCs/>
          <w:color w:val="222222"/>
          <w:lang w:val="en"/>
        </w:rPr>
        <w:t xml:space="preserve"> </w:t>
      </w:r>
      <w:r w:rsidRPr="00870A75">
        <w:rPr>
          <w:rFonts w:eastAsia="Times New Roman" w:cstheme="minorHAnsi"/>
          <w:i/>
          <w:iCs/>
          <w:color w:val="222222"/>
          <w:lang w:val="en"/>
        </w:rPr>
        <w:t xml:space="preserve">Feminist Theory </w:t>
      </w:r>
      <w:r w:rsidRPr="00870A75">
        <w:rPr>
          <w:rFonts w:eastAsia="Times New Roman" w:cstheme="minorHAnsi"/>
          <w:iCs/>
          <w:color w:val="222222"/>
          <w:lang w:val="en"/>
        </w:rPr>
        <w:t xml:space="preserve">10(3): 359-377. </w:t>
      </w:r>
    </w:p>
    <w:sectPr w:rsidR="00724CA6">
      <w:headerReference w:type="even" r:id="rId10"/>
      <w:footerReference w:type="even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7940" w14:textId="77777777" w:rsidR="00C97BF7" w:rsidRDefault="00C97BF7">
      <w:pPr>
        <w:spacing w:after="0" w:line="240" w:lineRule="auto"/>
      </w:pPr>
      <w:r>
        <w:separator/>
      </w:r>
    </w:p>
  </w:endnote>
  <w:endnote w:type="continuationSeparator" w:id="0">
    <w:p w14:paraId="3DF64BC3" w14:textId="77777777" w:rsidR="00C97BF7" w:rsidRDefault="00C9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61541023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F6CBC9E" w14:textId="15665853" w:rsidR="00D20EDB" w:rsidRDefault="00D20EDB" w:rsidP="00F76D7C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B347A00" w14:textId="77777777" w:rsidR="00D20EDB" w:rsidRDefault="00D20EDB" w:rsidP="00D20ED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98003001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0A6750C4" w14:textId="2ADCE72F" w:rsidR="00D20EDB" w:rsidRDefault="00D20EDB" w:rsidP="00F76D7C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5D34E89" w14:paraId="2CAC7813" w14:textId="77777777" w:rsidTr="35D34E89">
      <w:tc>
        <w:tcPr>
          <w:tcW w:w="3009" w:type="dxa"/>
        </w:tcPr>
        <w:p w14:paraId="5D79830B" w14:textId="286B4AEB" w:rsidR="35D34E89" w:rsidRDefault="35D34E89" w:rsidP="00D20EDB">
          <w:pPr>
            <w:pStyle w:val="Sidhuvud"/>
            <w:ind w:left="-115" w:right="360"/>
          </w:pPr>
        </w:p>
      </w:tc>
      <w:tc>
        <w:tcPr>
          <w:tcW w:w="3009" w:type="dxa"/>
        </w:tcPr>
        <w:p w14:paraId="44E686B6" w14:textId="630C17FA" w:rsidR="35D34E89" w:rsidRDefault="35D34E89" w:rsidP="35D34E89">
          <w:pPr>
            <w:pStyle w:val="Sidhuvud"/>
            <w:jc w:val="center"/>
          </w:pPr>
        </w:p>
      </w:tc>
      <w:tc>
        <w:tcPr>
          <w:tcW w:w="3009" w:type="dxa"/>
        </w:tcPr>
        <w:p w14:paraId="04323C7A" w14:textId="7FE305AE" w:rsidR="35D34E89" w:rsidRDefault="35D34E89" w:rsidP="35D34E89">
          <w:pPr>
            <w:pStyle w:val="Sidhuvud"/>
            <w:ind w:right="-115"/>
            <w:jc w:val="right"/>
          </w:pPr>
        </w:p>
      </w:tc>
    </w:tr>
  </w:tbl>
  <w:p w14:paraId="6E5312D8" w14:textId="48C89F9D" w:rsidR="35D34E89" w:rsidRDefault="35D34E89" w:rsidP="00D20EDB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9B9D5" w14:textId="77777777" w:rsidR="00C97BF7" w:rsidRDefault="00C97BF7">
      <w:pPr>
        <w:spacing w:after="0" w:line="240" w:lineRule="auto"/>
      </w:pPr>
      <w:r>
        <w:separator/>
      </w:r>
    </w:p>
  </w:footnote>
  <w:footnote w:type="continuationSeparator" w:id="0">
    <w:p w14:paraId="1EFFE90E" w14:textId="77777777" w:rsidR="00C97BF7" w:rsidRDefault="00C9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2048602829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6E041054" w14:textId="0CA221AB" w:rsidR="00D20EDB" w:rsidRDefault="00D20EDB" w:rsidP="00F76D7C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7A2FD06" w14:textId="77777777" w:rsidR="00D20EDB" w:rsidRDefault="00D20EDB" w:rsidP="00D20EDB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5"/>
  <w:doNotDisplayPageBoundari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C343A2"/>
    <w:rsid w:val="00027450"/>
    <w:rsid w:val="00036BB9"/>
    <w:rsid w:val="00091843"/>
    <w:rsid w:val="000D195D"/>
    <w:rsid w:val="00150F2C"/>
    <w:rsid w:val="00202E9E"/>
    <w:rsid w:val="00276EA6"/>
    <w:rsid w:val="002E1762"/>
    <w:rsid w:val="00310733"/>
    <w:rsid w:val="00480844"/>
    <w:rsid w:val="0048475C"/>
    <w:rsid w:val="0050474C"/>
    <w:rsid w:val="0053017E"/>
    <w:rsid w:val="00614BBA"/>
    <w:rsid w:val="00706438"/>
    <w:rsid w:val="00724CA6"/>
    <w:rsid w:val="00870A75"/>
    <w:rsid w:val="00877338"/>
    <w:rsid w:val="008937DB"/>
    <w:rsid w:val="00A74345"/>
    <w:rsid w:val="00A90A14"/>
    <w:rsid w:val="00A90F3F"/>
    <w:rsid w:val="00AA36EF"/>
    <w:rsid w:val="00AE0F7D"/>
    <w:rsid w:val="00B170F3"/>
    <w:rsid w:val="00B25BFC"/>
    <w:rsid w:val="00B36706"/>
    <w:rsid w:val="00C02ACC"/>
    <w:rsid w:val="00C51FB7"/>
    <w:rsid w:val="00C97BF7"/>
    <w:rsid w:val="00CC00A7"/>
    <w:rsid w:val="00CE7E5B"/>
    <w:rsid w:val="00D14013"/>
    <w:rsid w:val="00D20EDB"/>
    <w:rsid w:val="00D9180E"/>
    <w:rsid w:val="00E23D60"/>
    <w:rsid w:val="00E84079"/>
    <w:rsid w:val="00FC2802"/>
    <w:rsid w:val="301C7C4F"/>
    <w:rsid w:val="35D34E89"/>
    <w:rsid w:val="5827B15A"/>
    <w:rsid w:val="69C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343A2"/>
  <w15:chartTrackingRefBased/>
  <w15:docId w15:val="{6F10E7AD-43A6-4CF5-8727-83A8A389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0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0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0ED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0EDB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nummer">
    <w:name w:val="page number"/>
    <w:basedOn w:val="Standardstycketeckensnitt"/>
    <w:uiPriority w:val="99"/>
    <w:semiHidden/>
    <w:unhideWhenUsed/>
    <w:rsid w:val="00D20EDB"/>
  </w:style>
  <w:style w:type="character" w:styleId="Hyperlnk">
    <w:name w:val="Hyperlink"/>
    <w:basedOn w:val="Standardstycketeckensnitt"/>
    <w:uiPriority w:val="99"/>
    <w:unhideWhenUsed/>
    <w:rsid w:val="00276EA6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276EA6"/>
    <w:rPr>
      <w:i/>
      <w:iCs/>
    </w:rPr>
  </w:style>
  <w:style w:type="paragraph" w:styleId="Ingetavstnd">
    <w:name w:val="No Spacing"/>
    <w:uiPriority w:val="1"/>
    <w:qFormat/>
    <w:rsid w:val="00870A7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watch-title">
    <w:name w:val="watch-title"/>
    <w:basedOn w:val="Standardstycketeckensnitt"/>
    <w:rsid w:val="00870A75"/>
  </w:style>
  <w:style w:type="character" w:customStyle="1" w:styleId="big1">
    <w:name w:val="big1"/>
    <w:basedOn w:val="Standardstycketeckensnitt"/>
    <w:rsid w:val="0050474C"/>
    <w:rPr>
      <w:rFonts w:ascii="Verdana" w:hAnsi="Verdana" w:hint="default"/>
      <w:b/>
      <w:bCs/>
      <w:smallCaps w:val="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1FB7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D1401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14013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28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C2802"/>
    <w:pPr>
      <w:spacing w:after="0" w:line="240" w:lineRule="auto"/>
    </w:pPr>
    <w:rPr>
      <w:rFonts w:eastAsiaTheme="minorEastAsia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C2802"/>
    <w:rPr>
      <w:rFonts w:eastAsiaTheme="minorEastAsia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9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0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62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67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35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48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84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817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060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963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976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97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56f4758f-38f0-4b46-b0ac-f01fa81a594c" xsi:nil="true"/>
    <_lisam_PublishedVersion xmlns="4f8e269d-74a0-4a3a-bcab-056fd2919e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F41405A5C134F85EB18E02DF2FB28" ma:contentTypeVersion="2" ma:contentTypeDescription="Create a new document." ma:contentTypeScope="" ma:versionID="cee5dcb67c26685fd53e0269583757a0">
  <xsd:schema xmlns:xsd="http://www.w3.org/2001/XMLSchema" xmlns:xs="http://www.w3.org/2001/XMLSchema" xmlns:p="http://schemas.microsoft.com/office/2006/metadata/properties" xmlns:ns2="56f4758f-38f0-4b46-b0ac-f01fa81a594c" xmlns:ns3="4f8e269d-74a0-4a3a-bcab-056fd2919e5b" targetNamespace="http://schemas.microsoft.com/office/2006/metadata/properties" ma:root="true" ma:fieldsID="d4ba32ce6595ab73f9dba597ffd32b78" ns2:_="" ns3:_="">
    <xsd:import namespace="56f4758f-38f0-4b46-b0ac-f01fa81a594c"/>
    <xsd:import namespace="4f8e269d-74a0-4a3a-bcab-056fd2919e5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4758f-38f0-4b46-b0ac-f01fa81a594c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269d-74a0-4a3a-bcab-056fd2919e5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447C-19AF-49EF-AC9D-A5B58C8F4872}">
  <ds:schemaRefs>
    <ds:schemaRef ds:uri="http://schemas.microsoft.com/office/2006/metadata/properties"/>
    <ds:schemaRef ds:uri="http://schemas.microsoft.com/office/infopath/2007/PartnerControls"/>
    <ds:schemaRef ds:uri="f9714f5e-65bd-4ed9-a98a-8b5eced03a05"/>
  </ds:schemaRefs>
</ds:datastoreItem>
</file>

<file path=customXml/itemProps2.xml><?xml version="1.0" encoding="utf-8"?>
<ds:datastoreItem xmlns:ds="http://schemas.openxmlformats.org/officeDocument/2006/customXml" ds:itemID="{3BD9B549-1EB0-49AD-A22B-9F901BA84BA2}"/>
</file>

<file path=customXml/itemProps3.xml><?xml version="1.0" encoding="utf-8"?>
<ds:datastoreItem xmlns:ds="http://schemas.openxmlformats.org/officeDocument/2006/customXml" ds:itemID="{FC6461A4-CB71-4389-AA28-6C684D4E3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Andrén</dc:creator>
  <cp:keywords/>
  <dc:description/>
  <cp:lastModifiedBy>Johanna Sjöberg</cp:lastModifiedBy>
  <cp:revision>25</cp:revision>
  <dcterms:created xsi:type="dcterms:W3CDTF">2019-10-09T09:16:00Z</dcterms:created>
  <dcterms:modified xsi:type="dcterms:W3CDTF">2019-11-15T09:11:00Z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0x0101000D6F41405A5C134F85EB18E02DF2FB28</vt:lpwstr>
  </property>
</Properties>
</file>